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C44DA" w14:textId="04B6724C" w:rsidR="006A72C6" w:rsidRDefault="00A07CE3" w:rsidP="00A07CE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7CE3">
        <w:rPr>
          <w:rFonts w:ascii="Arial" w:hAnsi="Arial" w:cs="Arial"/>
          <w:sz w:val="24"/>
          <w:szCs w:val="24"/>
        </w:rPr>
        <w:t xml:space="preserve">A exposição crônica dos vermes L1 ao controle negativo (0,5% </w:t>
      </w:r>
      <w:proofErr w:type="spellStart"/>
      <w:r w:rsidRPr="00A07CE3">
        <w:rPr>
          <w:rFonts w:ascii="Arial" w:hAnsi="Arial" w:cs="Arial"/>
          <w:sz w:val="24"/>
          <w:szCs w:val="24"/>
        </w:rPr>
        <w:t>NaCl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) e as diferentes formulações (nanopartículas de </w:t>
      </w:r>
      <w:proofErr w:type="spellStart"/>
      <w:r w:rsidRPr="00A07CE3">
        <w:rPr>
          <w:rFonts w:ascii="Arial" w:hAnsi="Arial" w:cs="Arial"/>
          <w:sz w:val="24"/>
          <w:szCs w:val="24"/>
        </w:rPr>
        <w:t>zeína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, nanopartículas de </w:t>
      </w:r>
      <w:proofErr w:type="spellStart"/>
      <w:r w:rsidRPr="00A07CE3">
        <w:rPr>
          <w:rFonts w:ascii="Arial" w:hAnsi="Arial" w:cs="Arial"/>
          <w:sz w:val="24"/>
          <w:szCs w:val="24"/>
        </w:rPr>
        <w:t>zeína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 carregadas de óleo de </w:t>
      </w:r>
      <w:proofErr w:type="spellStart"/>
      <w:r w:rsidRPr="00A07CE3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ee</w:t>
      </w:r>
      <w:r w:rsidRPr="00A07CE3">
        <w:rPr>
          <w:rFonts w:ascii="Arial" w:hAnsi="Arial" w:cs="Arial"/>
          <w:sz w:val="24"/>
          <w:szCs w:val="24"/>
        </w:rPr>
        <w:t>m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 e óleo de </w:t>
      </w:r>
      <w:proofErr w:type="spellStart"/>
      <w:r w:rsidRPr="00A07CE3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ee</w:t>
      </w:r>
      <w:r w:rsidRPr="00A07CE3">
        <w:rPr>
          <w:rFonts w:ascii="Arial" w:hAnsi="Arial" w:cs="Arial"/>
          <w:sz w:val="24"/>
          <w:szCs w:val="24"/>
        </w:rPr>
        <w:t>m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) foram realizadas por 30min com 0,05, 0,25, 0,5 e 0,75mg / </w:t>
      </w:r>
      <w:proofErr w:type="spellStart"/>
      <w:r w:rsidRPr="00A07CE3">
        <w:rPr>
          <w:rFonts w:ascii="Arial" w:hAnsi="Arial" w:cs="Arial"/>
          <w:sz w:val="24"/>
          <w:szCs w:val="24"/>
        </w:rPr>
        <w:t>mL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 do material de teste, utilizando 1500 vermes por réplica (por </w:t>
      </w:r>
      <w:proofErr w:type="spellStart"/>
      <w:r w:rsidRPr="00A07CE3">
        <w:rPr>
          <w:rFonts w:ascii="Arial" w:hAnsi="Arial" w:cs="Arial"/>
          <w:sz w:val="24"/>
          <w:szCs w:val="24"/>
        </w:rPr>
        <w:t>microtubo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), em meio líquido (0,5% </w:t>
      </w:r>
      <w:proofErr w:type="spellStart"/>
      <w:r w:rsidRPr="00A07CE3">
        <w:rPr>
          <w:rFonts w:ascii="Arial" w:hAnsi="Arial" w:cs="Arial"/>
          <w:sz w:val="24"/>
          <w:szCs w:val="24"/>
        </w:rPr>
        <w:t>NaCl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), com agitação para garantir o contato dos </w:t>
      </w:r>
      <w:proofErr w:type="spellStart"/>
      <w:r w:rsidRPr="00A07CE3">
        <w:rPr>
          <w:rFonts w:ascii="Arial" w:hAnsi="Arial" w:cs="Arial"/>
          <w:sz w:val="24"/>
          <w:szCs w:val="24"/>
        </w:rPr>
        <w:t>nematóides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 com os tratamentos.</w:t>
      </w:r>
      <w:r>
        <w:rPr>
          <w:rFonts w:ascii="Arial" w:hAnsi="Arial" w:cs="Arial"/>
          <w:sz w:val="24"/>
          <w:szCs w:val="24"/>
        </w:rPr>
        <w:t xml:space="preserve"> </w:t>
      </w:r>
      <w:r w:rsidRPr="00A07CE3">
        <w:rPr>
          <w:rFonts w:ascii="Arial" w:hAnsi="Arial" w:cs="Arial"/>
          <w:sz w:val="24"/>
          <w:szCs w:val="24"/>
        </w:rPr>
        <w:t xml:space="preserve">As concentrações foram testadas em duplicatas, em todas as experiências utilizando </w:t>
      </w:r>
      <w:r w:rsidRPr="00A07CE3">
        <w:rPr>
          <w:rFonts w:ascii="Arial" w:hAnsi="Arial" w:cs="Arial"/>
          <w:i/>
          <w:iCs/>
          <w:sz w:val="24"/>
          <w:szCs w:val="24"/>
        </w:rPr>
        <w:t xml:space="preserve">C. </w:t>
      </w:r>
      <w:proofErr w:type="spellStart"/>
      <w:r w:rsidRPr="00A07CE3">
        <w:rPr>
          <w:rFonts w:ascii="Arial" w:hAnsi="Arial" w:cs="Arial"/>
          <w:i/>
          <w:iCs/>
          <w:sz w:val="24"/>
          <w:szCs w:val="24"/>
        </w:rPr>
        <w:t>elegans</w:t>
      </w:r>
      <w:proofErr w:type="spellEnd"/>
      <w:r w:rsidRPr="00A07CE3">
        <w:rPr>
          <w:rFonts w:ascii="Arial" w:hAnsi="Arial" w:cs="Arial"/>
          <w:sz w:val="24"/>
          <w:szCs w:val="24"/>
        </w:rPr>
        <w:t>, um procedimento que foi repetido em três experi</w:t>
      </w:r>
      <w:bookmarkStart w:id="0" w:name="_GoBack"/>
      <w:bookmarkEnd w:id="0"/>
      <w:r w:rsidRPr="00A07CE3">
        <w:rPr>
          <w:rFonts w:ascii="Arial" w:hAnsi="Arial" w:cs="Arial"/>
          <w:sz w:val="24"/>
          <w:szCs w:val="24"/>
        </w:rPr>
        <w:t>ências independentes (em dias diferentes e diferentes lotes de vermes).</w:t>
      </w:r>
      <w:r>
        <w:rPr>
          <w:rFonts w:ascii="Arial" w:hAnsi="Arial" w:cs="Arial"/>
          <w:sz w:val="24"/>
          <w:szCs w:val="24"/>
        </w:rPr>
        <w:t xml:space="preserve"> </w:t>
      </w:r>
      <w:r w:rsidRPr="00A07CE3">
        <w:rPr>
          <w:rFonts w:ascii="Arial" w:hAnsi="Arial" w:cs="Arial"/>
          <w:sz w:val="24"/>
          <w:szCs w:val="24"/>
        </w:rPr>
        <w:t xml:space="preserve">Os </w:t>
      </w:r>
      <w:proofErr w:type="spellStart"/>
      <w:r w:rsidRPr="00A07CE3">
        <w:rPr>
          <w:rFonts w:ascii="Arial" w:hAnsi="Arial" w:cs="Arial"/>
          <w:sz w:val="24"/>
          <w:szCs w:val="24"/>
        </w:rPr>
        <w:t>nematóides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 da estirpe de tipo selvagem foram avaliados em termos de sobrevivência, reprodução, tamanho corporal e bombagem faríngea. Para a expressão enzimática de GST-4, foi utilizada a estirpe CL2166 que tem GST-4 marcada com um GFP e a proteína de desintoxicação </w:t>
      </w:r>
      <w:proofErr w:type="spellStart"/>
      <w:r w:rsidRPr="00A07CE3">
        <w:rPr>
          <w:rFonts w:ascii="Arial" w:hAnsi="Arial" w:cs="Arial"/>
          <w:sz w:val="24"/>
          <w:szCs w:val="24"/>
        </w:rPr>
        <w:t>xenobiótica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 marcada foi determinada de acordo com a sua fluorescência (</w:t>
      </w:r>
      <w:proofErr w:type="spellStart"/>
      <w:r w:rsidRPr="00A07CE3">
        <w:rPr>
          <w:rFonts w:ascii="Arial" w:hAnsi="Arial" w:cs="Arial"/>
          <w:sz w:val="24"/>
          <w:szCs w:val="24"/>
        </w:rPr>
        <w:t>Rathor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 et al., 2017).</w:t>
      </w:r>
    </w:p>
    <w:p w14:paraId="664B9072" w14:textId="51857F1E" w:rsidR="00A07CE3" w:rsidRDefault="00A07CE3" w:rsidP="00A07CE3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A07CE3">
        <w:rPr>
          <w:rFonts w:ascii="Arial" w:hAnsi="Arial" w:cs="Arial"/>
          <w:sz w:val="24"/>
          <w:szCs w:val="24"/>
        </w:rPr>
        <w:t xml:space="preserve"> tamanho foi avaliado por imagens adquiridas 48 h após as exposições, utilizando um microscópio invertido (MEDILUX MDL-INV-1) conectado a uma câmera digital (SAM SUNG ST64). O software </w:t>
      </w:r>
      <w:proofErr w:type="spellStart"/>
      <w:r w:rsidRPr="00A07CE3">
        <w:rPr>
          <w:rFonts w:ascii="Arial" w:hAnsi="Arial" w:cs="Arial"/>
          <w:sz w:val="24"/>
          <w:szCs w:val="24"/>
        </w:rPr>
        <w:t>ImageJ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 foi utilizado para medir os comprimentos corporais de 10 vermes por grupo, em cada experimento.</w:t>
      </w:r>
      <w:r>
        <w:rPr>
          <w:rFonts w:ascii="Arial" w:hAnsi="Arial" w:cs="Arial"/>
          <w:sz w:val="24"/>
          <w:szCs w:val="24"/>
        </w:rPr>
        <w:t xml:space="preserve"> </w:t>
      </w:r>
      <w:r w:rsidRPr="00A07CE3">
        <w:rPr>
          <w:rFonts w:ascii="Arial" w:hAnsi="Arial" w:cs="Arial"/>
          <w:sz w:val="24"/>
          <w:szCs w:val="24"/>
        </w:rPr>
        <w:t xml:space="preserve">Para a cepa CL2166, as imagens foram adquiridas usando um microscópio de </w:t>
      </w:r>
      <w:proofErr w:type="spellStart"/>
      <w:r w:rsidRPr="00A07CE3">
        <w:rPr>
          <w:rFonts w:ascii="Arial" w:hAnsi="Arial" w:cs="Arial"/>
          <w:sz w:val="24"/>
          <w:szCs w:val="24"/>
        </w:rPr>
        <w:t>epifluorescência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 (Nikon Eclipse 50i) com um filtro GFP (com excitação a 365nm e emissão a 420 </w:t>
      </w:r>
      <w:proofErr w:type="spellStart"/>
      <w:r w:rsidRPr="00A07CE3">
        <w:rPr>
          <w:rFonts w:ascii="Arial" w:hAnsi="Arial" w:cs="Arial"/>
          <w:sz w:val="24"/>
          <w:szCs w:val="24"/>
        </w:rPr>
        <w:t>nm</w:t>
      </w:r>
      <w:proofErr w:type="spellEnd"/>
      <w:r w:rsidRPr="00A07CE3">
        <w:rPr>
          <w:rFonts w:ascii="Arial" w:hAnsi="Arial" w:cs="Arial"/>
          <w:sz w:val="24"/>
          <w:szCs w:val="24"/>
        </w:rPr>
        <w:t xml:space="preserve">), e a fluorescência foi medida usando o software </w:t>
      </w:r>
      <w:proofErr w:type="spellStart"/>
      <w:r w:rsidRPr="00A07CE3">
        <w:rPr>
          <w:rFonts w:ascii="Arial" w:hAnsi="Arial" w:cs="Arial"/>
          <w:sz w:val="24"/>
          <w:szCs w:val="24"/>
        </w:rPr>
        <w:t>ImageJ</w:t>
      </w:r>
      <w:proofErr w:type="spellEnd"/>
    </w:p>
    <w:p w14:paraId="1E85944A" w14:textId="7F302AF0" w:rsidR="006A72C6" w:rsidRDefault="006A72C6" w:rsidP="006A72C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dados foram expressos como média de três experimentos independentes ± desvios padrão, representados por barras de erro. As análises estatísticas foram realizadas com o programa GraphPad </w:t>
      </w:r>
      <w:proofErr w:type="spellStart"/>
      <w:r>
        <w:rPr>
          <w:rFonts w:ascii="Arial" w:hAnsi="Arial" w:cs="Arial"/>
          <w:sz w:val="24"/>
          <w:szCs w:val="24"/>
        </w:rPr>
        <w:t>Prism</w:t>
      </w:r>
      <w:proofErr w:type="spellEnd"/>
      <w:r>
        <w:rPr>
          <w:rFonts w:ascii="Arial" w:hAnsi="Arial" w:cs="Arial"/>
          <w:sz w:val="24"/>
          <w:szCs w:val="24"/>
        </w:rPr>
        <w:t xml:space="preserve"> v.6, utilizando ANOVA </w:t>
      </w:r>
      <w:proofErr w:type="spellStart"/>
      <w:r>
        <w:rPr>
          <w:rFonts w:ascii="Arial" w:hAnsi="Arial" w:cs="Arial"/>
          <w:sz w:val="24"/>
          <w:szCs w:val="24"/>
        </w:rPr>
        <w:t>two-way</w:t>
      </w:r>
      <w:proofErr w:type="spellEnd"/>
      <w:r>
        <w:rPr>
          <w:rFonts w:ascii="Arial" w:hAnsi="Arial" w:cs="Arial"/>
          <w:sz w:val="24"/>
          <w:szCs w:val="24"/>
        </w:rPr>
        <w:t xml:space="preserve">, seguido do teste post-hoc de </w:t>
      </w:r>
      <w:proofErr w:type="spellStart"/>
      <w:r>
        <w:rPr>
          <w:rFonts w:ascii="Arial" w:hAnsi="Arial" w:cs="Arial"/>
          <w:sz w:val="24"/>
          <w:szCs w:val="24"/>
        </w:rPr>
        <w:t>Tukey</w:t>
      </w:r>
      <w:proofErr w:type="spellEnd"/>
      <w:r>
        <w:rPr>
          <w:rFonts w:ascii="Arial" w:hAnsi="Arial" w:cs="Arial"/>
          <w:sz w:val="24"/>
          <w:szCs w:val="24"/>
        </w:rPr>
        <w:t>, com nível de significância de p &lt;0,05.</w:t>
      </w:r>
    </w:p>
    <w:p w14:paraId="3560235D" w14:textId="77777777" w:rsidR="003869A0" w:rsidRDefault="003869A0"/>
    <w:sectPr w:rsidR="003869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A0"/>
    <w:rsid w:val="00303E95"/>
    <w:rsid w:val="003869A0"/>
    <w:rsid w:val="006A72C6"/>
    <w:rsid w:val="00A0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A477"/>
  <w15:chartTrackingRefBased/>
  <w15:docId w15:val="{CD6C1D66-7C94-499D-8289-49B84EF1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2C6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2</cp:revision>
  <dcterms:created xsi:type="dcterms:W3CDTF">2019-06-28T12:39:00Z</dcterms:created>
  <dcterms:modified xsi:type="dcterms:W3CDTF">2019-06-28T13:19:00Z</dcterms:modified>
</cp:coreProperties>
</file>